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0E6EC" w14:textId="282A1767" w:rsidR="00641F7C" w:rsidRPr="008041DF" w:rsidRDefault="009063D7" w:rsidP="009063D7">
      <w:pPr>
        <w:tabs>
          <w:tab w:val="left" w:pos="3969"/>
        </w:tabs>
        <w:spacing w:after="0"/>
        <w:jc w:val="center"/>
        <w:rPr>
          <w:rFonts w:ascii="Arial" w:hAnsi="Arial" w:cs="Arial"/>
          <w:sz w:val="24"/>
          <w:szCs w:val="24"/>
          <w:u w:val="single"/>
        </w:rPr>
      </w:pPr>
      <w:r w:rsidRPr="009063D7">
        <w:rPr>
          <w:noProof/>
        </w:rPr>
        <w:drawing>
          <wp:inline distT="0" distB="0" distL="0" distR="0" wp14:anchorId="71D09B90" wp14:editId="017BEA64">
            <wp:extent cx="2867025" cy="1668353"/>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93800" cy="1683934"/>
                    </a:xfrm>
                    <a:prstGeom prst="rect">
                      <a:avLst/>
                    </a:prstGeom>
                  </pic:spPr>
                </pic:pic>
              </a:graphicData>
            </a:graphic>
          </wp:inline>
        </w:drawing>
      </w:r>
    </w:p>
    <w:p w14:paraId="5699FFBB" w14:textId="77777777" w:rsidR="009063D7" w:rsidRDefault="009063D7" w:rsidP="00641F7C">
      <w:pPr>
        <w:spacing w:after="0"/>
        <w:jc w:val="center"/>
        <w:rPr>
          <w:rFonts w:ascii="Arial" w:hAnsi="Arial" w:cs="Arial"/>
          <w:sz w:val="24"/>
          <w:szCs w:val="24"/>
          <w:u w:val="single"/>
        </w:rPr>
      </w:pPr>
    </w:p>
    <w:p w14:paraId="0807A67B" w14:textId="4BD8C8BE" w:rsidR="00641F7C" w:rsidRPr="005F55A6" w:rsidRDefault="0032396F" w:rsidP="00641F7C">
      <w:pPr>
        <w:spacing w:after="0"/>
        <w:jc w:val="center"/>
        <w:rPr>
          <w:rFonts w:ascii="Arial" w:hAnsi="Arial" w:cs="Arial"/>
          <w:u w:val="single"/>
        </w:rPr>
      </w:pPr>
      <w:r w:rsidRPr="005F55A6">
        <w:rPr>
          <w:rFonts w:ascii="Arial" w:hAnsi="Arial" w:cs="Arial"/>
          <w:u w:val="single"/>
        </w:rPr>
        <w:t>En el marco del programa Red Solidaria del banco</w:t>
      </w:r>
    </w:p>
    <w:p w14:paraId="288A7FBF" w14:textId="77777777" w:rsidR="00641F7C" w:rsidRPr="005F55A6" w:rsidRDefault="00641F7C" w:rsidP="00641F7C">
      <w:pPr>
        <w:spacing w:after="0"/>
        <w:jc w:val="center"/>
        <w:rPr>
          <w:rFonts w:ascii="Arial" w:hAnsi="Arial" w:cs="Arial"/>
          <w:u w:val="single"/>
        </w:rPr>
      </w:pPr>
    </w:p>
    <w:p w14:paraId="488C93CF" w14:textId="77777777" w:rsidR="00BD3B67" w:rsidRDefault="00BD3B67" w:rsidP="00BD3B67">
      <w:pPr>
        <w:spacing w:after="0" w:line="240" w:lineRule="auto"/>
        <w:jc w:val="center"/>
        <w:rPr>
          <w:rFonts w:ascii="Arial" w:hAnsi="Arial" w:cs="Arial"/>
          <w:b/>
        </w:rPr>
      </w:pPr>
      <w:r>
        <w:rPr>
          <w:rFonts w:ascii="Arial" w:hAnsi="Arial" w:cs="Arial"/>
          <w:b/>
        </w:rPr>
        <w:t>Bankia apoya a Cruz Roja a desarrollar un proyecto de concienciación</w:t>
      </w:r>
    </w:p>
    <w:p w14:paraId="540F5061" w14:textId="5B335F81" w:rsidR="00BD3B67" w:rsidRPr="005F55A6" w:rsidRDefault="00BD3B67" w:rsidP="00BD3B67">
      <w:pPr>
        <w:spacing w:after="0" w:line="240" w:lineRule="auto"/>
        <w:jc w:val="center"/>
        <w:rPr>
          <w:rFonts w:ascii="Arial" w:hAnsi="Arial" w:cs="Arial"/>
          <w:b/>
        </w:rPr>
      </w:pPr>
      <w:r>
        <w:rPr>
          <w:rFonts w:ascii="Arial" w:hAnsi="Arial" w:cs="Arial"/>
          <w:b/>
        </w:rPr>
        <w:t>de la vejez a través de la Fundación de investigación Biomédica</w:t>
      </w:r>
      <w:r w:rsidR="003271D7">
        <w:rPr>
          <w:rFonts w:ascii="Arial" w:hAnsi="Arial" w:cs="Arial"/>
          <w:b/>
        </w:rPr>
        <w:t xml:space="preserve"> del Hospital Universitario de Getafe</w:t>
      </w:r>
      <w:bookmarkStart w:id="0" w:name="_GoBack"/>
      <w:bookmarkEnd w:id="0"/>
    </w:p>
    <w:p w14:paraId="7421EB52" w14:textId="77777777" w:rsidR="005B3993" w:rsidRPr="005F55A6" w:rsidRDefault="005B3993" w:rsidP="005B3993">
      <w:pPr>
        <w:spacing w:after="0"/>
        <w:jc w:val="both"/>
        <w:rPr>
          <w:rFonts w:ascii="Arial" w:hAnsi="Arial" w:cs="Arial"/>
        </w:rPr>
      </w:pPr>
    </w:p>
    <w:p w14:paraId="20016388" w14:textId="77777777" w:rsidR="009E4891" w:rsidRPr="005F55A6" w:rsidRDefault="009E4891" w:rsidP="009E4891">
      <w:pPr>
        <w:pStyle w:val="Prrafodelista"/>
        <w:numPr>
          <w:ilvl w:val="0"/>
          <w:numId w:val="1"/>
        </w:numPr>
        <w:spacing w:after="0"/>
        <w:jc w:val="both"/>
        <w:rPr>
          <w:rFonts w:ascii="Arial" w:hAnsi="Arial" w:cs="Arial"/>
        </w:rPr>
      </w:pPr>
      <w:r w:rsidRPr="005F55A6">
        <w:rPr>
          <w:rFonts w:ascii="Arial" w:hAnsi="Arial" w:cs="Arial"/>
        </w:rPr>
        <w:t>La actividad se engloba en el programa de Buenos Tratos a Personas Mayores y Prevención del Maltrato</w:t>
      </w:r>
    </w:p>
    <w:p w14:paraId="40C95BEC" w14:textId="77777777" w:rsidR="005B3993" w:rsidRPr="005F55A6" w:rsidRDefault="005B3993" w:rsidP="005B3993">
      <w:pPr>
        <w:pStyle w:val="Prrafodelista"/>
        <w:spacing w:after="0"/>
        <w:jc w:val="both"/>
        <w:rPr>
          <w:rFonts w:ascii="Arial" w:hAnsi="Arial" w:cs="Arial"/>
        </w:rPr>
      </w:pPr>
    </w:p>
    <w:p w14:paraId="07D84381" w14:textId="55D62AC3" w:rsidR="005B3993" w:rsidRPr="005F55A6" w:rsidRDefault="005B3993" w:rsidP="005B3993">
      <w:pPr>
        <w:pStyle w:val="Prrafodelista"/>
        <w:numPr>
          <w:ilvl w:val="0"/>
          <w:numId w:val="1"/>
        </w:numPr>
        <w:spacing w:after="0"/>
        <w:jc w:val="both"/>
        <w:rPr>
          <w:rFonts w:ascii="Arial" w:hAnsi="Arial" w:cs="Arial"/>
        </w:rPr>
      </w:pPr>
      <w:r w:rsidRPr="005F55A6">
        <w:rPr>
          <w:rFonts w:ascii="Arial" w:hAnsi="Arial" w:cs="Arial"/>
        </w:rPr>
        <w:t>La organización desarrolla e</w:t>
      </w:r>
      <w:r w:rsidR="00D06CAF" w:rsidRPr="005F55A6">
        <w:rPr>
          <w:rFonts w:ascii="Arial" w:hAnsi="Arial" w:cs="Arial"/>
        </w:rPr>
        <w:t xml:space="preserve">ste </w:t>
      </w:r>
      <w:r w:rsidRPr="005F55A6">
        <w:rPr>
          <w:rFonts w:ascii="Arial" w:hAnsi="Arial" w:cs="Arial"/>
        </w:rPr>
        <w:t>proyecto, que tiene como finalidad concienciar sobre fragilidad</w:t>
      </w:r>
    </w:p>
    <w:p w14:paraId="0EA26C61" w14:textId="77777777" w:rsidR="0032396F" w:rsidRPr="005F55A6" w:rsidRDefault="0032396F" w:rsidP="0032396F">
      <w:pPr>
        <w:spacing w:after="0"/>
        <w:rPr>
          <w:rFonts w:ascii="Arial" w:hAnsi="Arial" w:cs="Arial"/>
          <w:b/>
        </w:rPr>
      </w:pPr>
    </w:p>
    <w:p w14:paraId="082487C7" w14:textId="77777777" w:rsidR="00706C40" w:rsidRPr="005F55A6" w:rsidRDefault="0032396F" w:rsidP="00706C40">
      <w:pPr>
        <w:pStyle w:val="Prrafodelista"/>
        <w:numPr>
          <w:ilvl w:val="0"/>
          <w:numId w:val="1"/>
        </w:numPr>
        <w:spacing w:after="0"/>
        <w:jc w:val="both"/>
        <w:rPr>
          <w:rFonts w:ascii="Arial" w:hAnsi="Arial" w:cs="Arial"/>
        </w:rPr>
      </w:pPr>
      <w:r w:rsidRPr="005F55A6">
        <w:rPr>
          <w:rFonts w:ascii="Arial" w:hAnsi="Arial" w:cs="Arial"/>
        </w:rPr>
        <w:t>La entidad financiera ha apoyado 25</w:t>
      </w:r>
      <w:r w:rsidR="00F347F8" w:rsidRPr="005F55A6">
        <w:rPr>
          <w:rFonts w:ascii="Arial" w:hAnsi="Arial" w:cs="Arial"/>
        </w:rPr>
        <w:t>2</w:t>
      </w:r>
      <w:r w:rsidRPr="005F55A6">
        <w:rPr>
          <w:rFonts w:ascii="Arial" w:hAnsi="Arial" w:cs="Arial"/>
        </w:rPr>
        <w:t xml:space="preserve"> proyectos sociales en 201</w:t>
      </w:r>
      <w:r w:rsidR="00F347F8" w:rsidRPr="005F55A6">
        <w:rPr>
          <w:rFonts w:ascii="Arial" w:hAnsi="Arial" w:cs="Arial"/>
        </w:rPr>
        <w:t>7</w:t>
      </w:r>
      <w:r w:rsidRPr="005F55A6">
        <w:rPr>
          <w:rFonts w:ascii="Arial" w:hAnsi="Arial" w:cs="Arial"/>
        </w:rPr>
        <w:t>, a través del programa Red Solidaria, por un importe global superior a los 1,</w:t>
      </w:r>
      <w:r w:rsidR="002D18DB" w:rsidRPr="005F55A6">
        <w:rPr>
          <w:rFonts w:ascii="Arial" w:hAnsi="Arial" w:cs="Arial"/>
        </w:rPr>
        <w:t>4</w:t>
      </w:r>
      <w:r w:rsidRPr="005F55A6">
        <w:rPr>
          <w:rFonts w:ascii="Arial" w:hAnsi="Arial" w:cs="Arial"/>
        </w:rPr>
        <w:t xml:space="preserve"> millones de euros</w:t>
      </w:r>
    </w:p>
    <w:p w14:paraId="7C799C28" w14:textId="77777777" w:rsidR="0032396F" w:rsidRPr="005F55A6" w:rsidRDefault="0032396F" w:rsidP="00706C40">
      <w:pPr>
        <w:pStyle w:val="Prrafodelista"/>
        <w:spacing w:after="0"/>
        <w:ind w:left="714"/>
        <w:rPr>
          <w:rFonts w:ascii="Arial" w:hAnsi="Arial" w:cs="Arial"/>
        </w:rPr>
      </w:pPr>
    </w:p>
    <w:p w14:paraId="60689394" w14:textId="77777777" w:rsidR="00A420FE" w:rsidRPr="005F55A6" w:rsidRDefault="00A420FE" w:rsidP="00706C40">
      <w:pPr>
        <w:pStyle w:val="Prrafodelista"/>
        <w:spacing w:after="0"/>
        <w:ind w:left="714"/>
        <w:rPr>
          <w:rFonts w:ascii="Arial" w:hAnsi="Arial" w:cs="Arial"/>
        </w:rPr>
      </w:pPr>
    </w:p>
    <w:p w14:paraId="26F28815" w14:textId="77777777" w:rsidR="00706C40" w:rsidRPr="005F55A6" w:rsidRDefault="00706C40" w:rsidP="00E746F3">
      <w:pPr>
        <w:spacing w:after="0"/>
        <w:jc w:val="both"/>
        <w:rPr>
          <w:rFonts w:ascii="Arial" w:hAnsi="Arial" w:cs="Arial"/>
          <w:b/>
        </w:rPr>
      </w:pPr>
    </w:p>
    <w:p w14:paraId="67FF7665" w14:textId="36A54E86" w:rsidR="00E746F3" w:rsidRPr="005F55A6" w:rsidRDefault="00E746F3" w:rsidP="00E746F3">
      <w:pPr>
        <w:spacing w:after="0"/>
        <w:jc w:val="both"/>
        <w:rPr>
          <w:rFonts w:ascii="Arial" w:hAnsi="Arial" w:cs="Arial"/>
        </w:rPr>
      </w:pPr>
      <w:r w:rsidRPr="005F55A6">
        <w:rPr>
          <w:rFonts w:ascii="Arial" w:hAnsi="Arial" w:cs="Arial"/>
          <w:b/>
        </w:rPr>
        <w:t>Madrid</w:t>
      </w:r>
      <w:r w:rsidR="00E36EEC" w:rsidRPr="005F55A6">
        <w:rPr>
          <w:rFonts w:ascii="Arial" w:hAnsi="Arial" w:cs="Arial"/>
          <w:b/>
        </w:rPr>
        <w:t xml:space="preserve">, </w:t>
      </w:r>
      <w:r w:rsidR="005302B5" w:rsidRPr="005F55A6">
        <w:rPr>
          <w:rFonts w:ascii="Arial" w:hAnsi="Arial" w:cs="Arial"/>
          <w:b/>
        </w:rPr>
        <w:t>2</w:t>
      </w:r>
      <w:r w:rsidR="00747653">
        <w:rPr>
          <w:rFonts w:ascii="Arial" w:hAnsi="Arial" w:cs="Arial"/>
          <w:b/>
        </w:rPr>
        <w:t>8</w:t>
      </w:r>
      <w:r w:rsidR="005302B5" w:rsidRPr="005F55A6">
        <w:rPr>
          <w:rFonts w:ascii="Arial" w:hAnsi="Arial" w:cs="Arial"/>
          <w:b/>
        </w:rPr>
        <w:t>/</w:t>
      </w:r>
      <w:r w:rsidRPr="005F55A6">
        <w:rPr>
          <w:rFonts w:ascii="Arial" w:hAnsi="Arial" w:cs="Arial"/>
          <w:b/>
        </w:rPr>
        <w:t>0</w:t>
      </w:r>
      <w:r w:rsidR="00B70DE4" w:rsidRPr="005F55A6">
        <w:rPr>
          <w:rFonts w:ascii="Arial" w:hAnsi="Arial" w:cs="Arial"/>
          <w:b/>
        </w:rPr>
        <w:t>5</w:t>
      </w:r>
      <w:r w:rsidR="0032396F" w:rsidRPr="005F55A6">
        <w:rPr>
          <w:rFonts w:ascii="Arial" w:hAnsi="Arial" w:cs="Arial"/>
          <w:b/>
        </w:rPr>
        <w:t>/201</w:t>
      </w:r>
      <w:r w:rsidR="00F347F8" w:rsidRPr="005F55A6">
        <w:rPr>
          <w:rFonts w:ascii="Arial" w:hAnsi="Arial" w:cs="Arial"/>
          <w:b/>
        </w:rPr>
        <w:t>8</w:t>
      </w:r>
      <w:r w:rsidR="00E36EEC" w:rsidRPr="005F55A6">
        <w:rPr>
          <w:rFonts w:ascii="Arial" w:hAnsi="Arial" w:cs="Arial"/>
          <w:b/>
        </w:rPr>
        <w:t xml:space="preserve">. </w:t>
      </w:r>
      <w:r w:rsidR="0095741A" w:rsidRPr="0095741A">
        <w:rPr>
          <w:rFonts w:ascii="Arial" w:hAnsi="Arial" w:cs="Arial"/>
        </w:rPr>
        <w:t>El grupo de Geriatría de la</w:t>
      </w:r>
      <w:r w:rsidR="005302B5" w:rsidRPr="005F55A6">
        <w:rPr>
          <w:rFonts w:ascii="Arial" w:hAnsi="Arial" w:cs="Arial"/>
        </w:rPr>
        <w:t xml:space="preserve"> </w:t>
      </w:r>
      <w:hyperlink r:id="rId11" w:history="1">
        <w:r w:rsidR="005302B5" w:rsidRPr="005F55A6">
          <w:rPr>
            <w:rStyle w:val="Hipervnculo"/>
            <w:rFonts w:ascii="Arial" w:hAnsi="Arial" w:cs="Arial"/>
          </w:rPr>
          <w:t>Fundación para la Investigación Biomédica del Hospital Universitario de Getafe</w:t>
        </w:r>
      </w:hyperlink>
      <w:r w:rsidR="005302B5" w:rsidRPr="005F55A6">
        <w:rPr>
          <w:rFonts w:ascii="Arial" w:hAnsi="Arial" w:cs="Arial"/>
        </w:rPr>
        <w:t xml:space="preserve"> puso en marcha el pasado mes de octubre de 2017 una campaña de concienciación sobre fragilidad en personas mayores, que se viene desarrollando desde ese mes, y que durará hasta finales de 2018. La financiación de la misma corre a cargo de la </w:t>
      </w:r>
      <w:hyperlink r:id="rId12" w:history="1">
        <w:r w:rsidR="005302B5" w:rsidRPr="00E37537">
          <w:rPr>
            <w:rStyle w:val="Hipervnculo"/>
            <w:rFonts w:ascii="Arial" w:hAnsi="Arial" w:cs="Arial"/>
          </w:rPr>
          <w:t>Red Solidaria Bankia</w:t>
        </w:r>
      </w:hyperlink>
      <w:r w:rsidR="005302B5" w:rsidRPr="005F55A6">
        <w:rPr>
          <w:rFonts w:ascii="Arial" w:hAnsi="Arial" w:cs="Arial"/>
        </w:rPr>
        <w:t xml:space="preserve">, dentro del proyecto de </w:t>
      </w:r>
      <w:r w:rsidR="005302B5" w:rsidRPr="005F55A6">
        <w:rPr>
          <w:rFonts w:ascii="Arial" w:hAnsi="Arial" w:cs="Arial"/>
          <w:b/>
        </w:rPr>
        <w:t>Bankia en Acción</w:t>
      </w:r>
      <w:r w:rsidR="005302B5" w:rsidRPr="005F55A6">
        <w:rPr>
          <w:rFonts w:ascii="Arial" w:hAnsi="Arial" w:cs="Arial"/>
        </w:rPr>
        <w:t>. La actividad que se llevará a cabo en Ávila se engloba dentro de esta campaña.</w:t>
      </w:r>
    </w:p>
    <w:p w14:paraId="79105936" w14:textId="77777777" w:rsidR="00C7317D" w:rsidRPr="005F55A6" w:rsidRDefault="00C7317D" w:rsidP="00E746F3">
      <w:pPr>
        <w:spacing w:after="0"/>
        <w:jc w:val="both"/>
        <w:rPr>
          <w:rFonts w:ascii="Arial" w:hAnsi="Arial" w:cs="Arial"/>
          <w:lang w:val="es-ES"/>
        </w:rPr>
      </w:pPr>
    </w:p>
    <w:p w14:paraId="3A5C3952" w14:textId="77777777" w:rsidR="005F55A6" w:rsidRPr="005F55A6" w:rsidRDefault="005F55A6" w:rsidP="005F55A6">
      <w:pPr>
        <w:spacing w:after="0"/>
        <w:jc w:val="both"/>
        <w:rPr>
          <w:rFonts w:ascii="Arial" w:hAnsi="Arial" w:cs="Arial"/>
          <w:lang w:val="es-ES"/>
        </w:rPr>
      </w:pPr>
      <w:r w:rsidRPr="005F55A6">
        <w:rPr>
          <w:rFonts w:ascii="Arial" w:hAnsi="Arial" w:cs="Arial"/>
          <w:lang w:val="es-ES"/>
        </w:rPr>
        <w:t>La fragilidad es un síndrome clínico que se define como la pérdida de reserva funcional del organismo, necesaria para responder a situaciones de estrés, especialmente a una enfermedad aguda.  Habitualmente, este proceso está asociado al envejecimiento, cuando se presenta un deterioro de la situación funcional, que es la capacidad para hacer las actividades de la vida cotidiana con autonomía.</w:t>
      </w:r>
    </w:p>
    <w:p w14:paraId="7F0FD0AF" w14:textId="77777777" w:rsidR="005F55A6" w:rsidRPr="005F55A6" w:rsidRDefault="005F55A6" w:rsidP="005F55A6">
      <w:pPr>
        <w:spacing w:after="0"/>
        <w:jc w:val="both"/>
        <w:rPr>
          <w:rFonts w:ascii="Arial" w:hAnsi="Arial" w:cs="Arial"/>
          <w:lang w:val="es-ES"/>
        </w:rPr>
      </w:pPr>
    </w:p>
    <w:p w14:paraId="1CC5B7DF" w14:textId="77777777" w:rsidR="005F55A6" w:rsidRPr="005F55A6" w:rsidRDefault="005F55A6" w:rsidP="005F55A6">
      <w:pPr>
        <w:spacing w:after="0"/>
        <w:jc w:val="both"/>
        <w:rPr>
          <w:rFonts w:ascii="Arial" w:hAnsi="Arial" w:cs="Arial"/>
          <w:lang w:val="es-ES"/>
        </w:rPr>
      </w:pPr>
      <w:r w:rsidRPr="005F55A6">
        <w:rPr>
          <w:rFonts w:ascii="Arial" w:hAnsi="Arial" w:cs="Arial"/>
          <w:lang w:val="es-ES"/>
        </w:rPr>
        <w:t>La buena noticia: la fragilidad es una situación REVERSIBLE. Una valoración geriátrica integral es capaz de determinar adecuadamente la situación funcional de una persona mayor y actuar sobre los factores que pueden influir sobre ella.</w:t>
      </w:r>
    </w:p>
    <w:p w14:paraId="682BA7DF" w14:textId="77777777" w:rsidR="005F55A6" w:rsidRPr="005F55A6" w:rsidRDefault="005F55A6" w:rsidP="005F55A6">
      <w:pPr>
        <w:spacing w:after="0"/>
        <w:jc w:val="both"/>
        <w:rPr>
          <w:rFonts w:ascii="Arial" w:hAnsi="Arial" w:cs="Arial"/>
          <w:lang w:val="es-ES"/>
        </w:rPr>
      </w:pPr>
    </w:p>
    <w:p w14:paraId="27F29EFB" w14:textId="6DD40940" w:rsidR="00E746F3" w:rsidRPr="005F55A6" w:rsidRDefault="005F55A6" w:rsidP="005F55A6">
      <w:pPr>
        <w:spacing w:after="0"/>
        <w:jc w:val="both"/>
        <w:rPr>
          <w:rFonts w:ascii="Arial" w:hAnsi="Arial" w:cs="Arial"/>
          <w:lang w:val="es-ES"/>
        </w:rPr>
      </w:pPr>
      <w:r w:rsidRPr="005F55A6">
        <w:rPr>
          <w:rFonts w:ascii="Arial" w:hAnsi="Arial" w:cs="Arial"/>
          <w:lang w:val="es-ES"/>
        </w:rPr>
        <w:lastRenderedPageBreak/>
        <w:t>Este programa persigue mejorar la empatía entre diferentes generaciones, para promover la implicación de todos los actores.</w:t>
      </w:r>
      <w:r w:rsidR="00E746F3" w:rsidRPr="005F55A6">
        <w:rPr>
          <w:rFonts w:ascii="Arial" w:hAnsi="Arial" w:cs="Arial"/>
          <w:lang w:val="es-ES"/>
        </w:rPr>
        <w:t>.</w:t>
      </w:r>
    </w:p>
    <w:p w14:paraId="21C9BA1C" w14:textId="77777777" w:rsidR="00A420FE" w:rsidRPr="005F55A6" w:rsidRDefault="00A420FE" w:rsidP="00E746F3">
      <w:pPr>
        <w:spacing w:after="0"/>
        <w:jc w:val="both"/>
        <w:rPr>
          <w:rFonts w:ascii="Arial" w:hAnsi="Arial" w:cs="Arial"/>
          <w:lang w:val="es-ES"/>
        </w:rPr>
      </w:pPr>
    </w:p>
    <w:p w14:paraId="2ECDC38A" w14:textId="77777777" w:rsidR="000143DA" w:rsidRPr="005F55A6" w:rsidRDefault="000143DA" w:rsidP="00A420FE">
      <w:pPr>
        <w:spacing w:after="0"/>
        <w:jc w:val="both"/>
        <w:rPr>
          <w:rFonts w:ascii="Arial" w:hAnsi="Arial" w:cs="Arial"/>
        </w:rPr>
      </w:pPr>
    </w:p>
    <w:p w14:paraId="26D33E3B" w14:textId="516C58D7" w:rsidR="00641F7C" w:rsidRDefault="0032396F" w:rsidP="00A420FE">
      <w:pPr>
        <w:spacing w:after="0"/>
        <w:jc w:val="both"/>
        <w:rPr>
          <w:rStyle w:val="Hipervnculo"/>
          <w:rFonts w:ascii="Arial" w:hAnsi="Arial" w:cs="Arial"/>
          <w:b/>
          <w:color w:val="auto"/>
        </w:rPr>
      </w:pPr>
      <w:r w:rsidRPr="005F55A6">
        <w:rPr>
          <w:rStyle w:val="Hipervnculo"/>
          <w:rFonts w:ascii="Arial" w:hAnsi="Arial" w:cs="Arial"/>
          <w:b/>
          <w:color w:val="auto"/>
        </w:rPr>
        <w:t>Red Solidaria</w:t>
      </w:r>
    </w:p>
    <w:p w14:paraId="44990BE5" w14:textId="77777777" w:rsidR="00D10D80" w:rsidRPr="005F55A6" w:rsidRDefault="00D10D80" w:rsidP="00A420FE">
      <w:pPr>
        <w:spacing w:after="0"/>
        <w:jc w:val="both"/>
        <w:rPr>
          <w:rStyle w:val="Hipervnculo"/>
          <w:rFonts w:ascii="Arial" w:hAnsi="Arial" w:cs="Arial"/>
          <w:b/>
          <w:color w:val="auto"/>
        </w:rPr>
      </w:pPr>
    </w:p>
    <w:p w14:paraId="7E4FAA2B" w14:textId="77777777" w:rsidR="00D10D80" w:rsidRPr="00D10D80" w:rsidRDefault="00D10D80" w:rsidP="00D10D80">
      <w:pPr>
        <w:spacing w:after="0"/>
        <w:jc w:val="both"/>
        <w:rPr>
          <w:rStyle w:val="Hipervnculo"/>
          <w:rFonts w:ascii="Arial" w:hAnsi="Arial" w:cs="Arial"/>
          <w:color w:val="auto"/>
          <w:u w:val="none"/>
        </w:rPr>
      </w:pPr>
      <w:r w:rsidRPr="00D10D80">
        <w:rPr>
          <w:rStyle w:val="Hipervnculo"/>
          <w:rFonts w:ascii="Arial" w:hAnsi="Arial" w:cs="Arial"/>
          <w:color w:val="auto"/>
          <w:u w:val="none"/>
        </w:rPr>
        <w:t>Red Solidaria es un proyecto innovador de Bankia, que vincula la política de Acción Social del banco con la consecución de los objetivos de su red de oficinas. En Red Solidaria, los empleados son los encargados de promover y seleccionar proyectos sociales, llevados a cabo por ONG o fundaciones sin ánimo de lucro, necesarios y cercanos a sus oficinas o localidades de origen.</w:t>
      </w:r>
    </w:p>
    <w:p w14:paraId="51402057" w14:textId="77777777" w:rsidR="00D10D80" w:rsidRPr="00D10D80" w:rsidRDefault="00D10D80" w:rsidP="00D10D80">
      <w:pPr>
        <w:spacing w:after="0"/>
        <w:jc w:val="both"/>
        <w:rPr>
          <w:rStyle w:val="Hipervnculo"/>
          <w:rFonts w:ascii="Arial" w:hAnsi="Arial" w:cs="Arial"/>
          <w:color w:val="auto"/>
          <w:u w:val="none"/>
        </w:rPr>
      </w:pPr>
    </w:p>
    <w:p w14:paraId="412B62BB" w14:textId="3E6A1739" w:rsidR="0032396F" w:rsidRDefault="00D10D80" w:rsidP="00D10D80">
      <w:pPr>
        <w:spacing w:after="0"/>
        <w:jc w:val="both"/>
        <w:rPr>
          <w:rStyle w:val="Hipervnculo"/>
          <w:rFonts w:ascii="Arial" w:hAnsi="Arial" w:cs="Arial"/>
          <w:color w:val="auto"/>
          <w:u w:val="none"/>
        </w:rPr>
      </w:pPr>
      <w:r w:rsidRPr="00D10D80">
        <w:rPr>
          <w:rStyle w:val="Hipervnculo"/>
          <w:rFonts w:ascii="Arial" w:hAnsi="Arial" w:cs="Arial"/>
          <w:color w:val="auto"/>
          <w:u w:val="none"/>
        </w:rPr>
        <w:t>En Acción, la huella social de Bankia, es la marca que acompaña a todos los proyectos sociales de la entidad financiera que estén relacionados con empleo, formación, vivienda, desarrollo rural, discapacidad y patrocinio social. Transmite el compromiso asumido por Bankia con la sociedad, cuyo objetivo es dejar un impacto positivo de los valores de credibilidad y cercanía.</w:t>
      </w:r>
    </w:p>
    <w:p w14:paraId="0709C70B" w14:textId="77777777" w:rsidR="00D10D80" w:rsidRPr="005F55A6" w:rsidRDefault="00D10D80" w:rsidP="00D10D80">
      <w:pPr>
        <w:spacing w:after="0"/>
        <w:jc w:val="both"/>
        <w:rPr>
          <w:rStyle w:val="Hipervnculo"/>
          <w:rFonts w:ascii="Arial" w:hAnsi="Arial" w:cs="Arial"/>
          <w:color w:val="auto"/>
          <w:u w:val="none"/>
        </w:rPr>
      </w:pPr>
    </w:p>
    <w:p w14:paraId="38778769" w14:textId="77777777" w:rsidR="0032396F" w:rsidRPr="005F55A6" w:rsidRDefault="0032396F" w:rsidP="00A420FE">
      <w:pPr>
        <w:spacing w:after="0"/>
        <w:jc w:val="both"/>
        <w:rPr>
          <w:rStyle w:val="Hipervnculo"/>
          <w:rFonts w:ascii="Arial" w:hAnsi="Arial" w:cs="Arial"/>
          <w:color w:val="auto"/>
          <w:u w:val="none"/>
        </w:rPr>
      </w:pPr>
    </w:p>
    <w:p w14:paraId="5C929B10" w14:textId="77777777" w:rsidR="0032396F" w:rsidRPr="005F55A6" w:rsidRDefault="00014384" w:rsidP="00A420FE">
      <w:pPr>
        <w:spacing w:after="0"/>
        <w:jc w:val="both"/>
        <w:rPr>
          <w:rStyle w:val="Hipervnculo"/>
          <w:rFonts w:ascii="Arial" w:hAnsi="Arial" w:cs="Arial"/>
          <w:b/>
          <w:color w:val="auto"/>
        </w:rPr>
      </w:pPr>
      <w:r w:rsidRPr="005F55A6">
        <w:rPr>
          <w:rStyle w:val="Hipervnculo"/>
          <w:rFonts w:ascii="Arial" w:hAnsi="Arial" w:cs="Arial"/>
          <w:b/>
          <w:color w:val="auto"/>
        </w:rPr>
        <w:t>Fundación para la</w:t>
      </w:r>
      <w:r w:rsidR="00A420FE" w:rsidRPr="005F55A6">
        <w:rPr>
          <w:rStyle w:val="Hipervnculo"/>
          <w:rFonts w:ascii="Arial" w:hAnsi="Arial" w:cs="Arial"/>
          <w:b/>
          <w:color w:val="auto"/>
        </w:rPr>
        <w:t xml:space="preserve"> </w:t>
      </w:r>
      <w:r w:rsidRPr="005F55A6">
        <w:rPr>
          <w:rStyle w:val="Hipervnculo"/>
          <w:rFonts w:ascii="Arial" w:hAnsi="Arial" w:cs="Arial"/>
          <w:b/>
          <w:color w:val="auto"/>
        </w:rPr>
        <w:t xml:space="preserve">investigación Biomédica del Hospital </w:t>
      </w:r>
      <w:r w:rsidR="0022206C" w:rsidRPr="005F55A6">
        <w:rPr>
          <w:rStyle w:val="Hipervnculo"/>
          <w:rFonts w:ascii="Arial" w:hAnsi="Arial" w:cs="Arial"/>
          <w:b/>
          <w:color w:val="auto"/>
        </w:rPr>
        <w:t>Universitario de</w:t>
      </w:r>
      <w:r w:rsidR="00883178" w:rsidRPr="005F55A6">
        <w:rPr>
          <w:rStyle w:val="Hipervnculo"/>
          <w:rFonts w:ascii="Arial" w:hAnsi="Arial" w:cs="Arial"/>
          <w:b/>
          <w:color w:val="auto"/>
        </w:rPr>
        <w:t xml:space="preserve"> </w:t>
      </w:r>
      <w:r w:rsidR="0022206C" w:rsidRPr="005F55A6">
        <w:rPr>
          <w:rStyle w:val="Hipervnculo"/>
          <w:rFonts w:ascii="Arial" w:hAnsi="Arial" w:cs="Arial"/>
          <w:b/>
          <w:color w:val="auto"/>
        </w:rPr>
        <w:t>Getafe</w:t>
      </w:r>
    </w:p>
    <w:p w14:paraId="7A30BD80" w14:textId="77777777" w:rsidR="00747653" w:rsidRDefault="00747653" w:rsidP="00A420FE">
      <w:pPr>
        <w:spacing w:after="0"/>
        <w:jc w:val="both"/>
        <w:rPr>
          <w:rFonts w:ascii="Arial" w:hAnsi="Arial" w:cs="Arial"/>
          <w:lang w:val="es-ES"/>
        </w:rPr>
      </w:pPr>
    </w:p>
    <w:p w14:paraId="7F539F6F" w14:textId="7EC22C77" w:rsidR="00682E46" w:rsidRPr="005F55A6" w:rsidRDefault="00014384" w:rsidP="00A420FE">
      <w:pPr>
        <w:spacing w:after="0"/>
        <w:jc w:val="both"/>
        <w:rPr>
          <w:rFonts w:ascii="Arial" w:hAnsi="Arial" w:cs="Arial"/>
          <w:lang w:val="es-ES"/>
        </w:rPr>
      </w:pPr>
      <w:r w:rsidRPr="005F55A6">
        <w:rPr>
          <w:rFonts w:ascii="Arial" w:hAnsi="Arial" w:cs="Arial"/>
          <w:lang w:val="es-ES"/>
        </w:rPr>
        <w:t xml:space="preserve">Es una entidad sin ánimo de lucro </w:t>
      </w:r>
      <w:r w:rsidR="00883178" w:rsidRPr="005F55A6">
        <w:rPr>
          <w:rFonts w:ascii="Arial" w:hAnsi="Arial" w:cs="Arial"/>
          <w:lang w:val="es-ES"/>
        </w:rPr>
        <w:t>entre cuyos fines fundacionales se encuentra promover la investigación científico-técnica, así como la formación y docencia en el área de las ciencias de la salud, con el objetivo de potenciar la calidad asistencial en el Hospital Universitario de Getafe.</w:t>
      </w:r>
    </w:p>
    <w:p w14:paraId="4618515F" w14:textId="77777777" w:rsidR="00883178" w:rsidRPr="005F55A6" w:rsidRDefault="00883178" w:rsidP="00A420FE">
      <w:pPr>
        <w:spacing w:after="0"/>
        <w:jc w:val="both"/>
        <w:rPr>
          <w:rFonts w:ascii="Arial" w:hAnsi="Arial" w:cs="Arial"/>
          <w:lang w:val="es-ES"/>
        </w:rPr>
      </w:pPr>
    </w:p>
    <w:p w14:paraId="2DF680A8" w14:textId="77777777" w:rsidR="00641F7C" w:rsidRPr="005F55A6" w:rsidRDefault="000A6B86" w:rsidP="000A6B86">
      <w:pPr>
        <w:spacing w:after="0"/>
        <w:jc w:val="both"/>
        <w:rPr>
          <w:rFonts w:ascii="Arial" w:hAnsi="Arial" w:cs="Arial"/>
        </w:rPr>
      </w:pPr>
      <w:r w:rsidRPr="005F55A6">
        <w:rPr>
          <w:rFonts w:ascii="Arial" w:hAnsi="Arial" w:cs="Arial"/>
          <w:lang w:val="es-ES"/>
        </w:rPr>
        <w:t xml:space="preserve">La misión </w:t>
      </w:r>
      <w:r w:rsidR="00014384" w:rsidRPr="005F55A6">
        <w:rPr>
          <w:rFonts w:ascii="Arial" w:hAnsi="Arial" w:cs="Arial"/>
          <w:lang w:val="es-ES"/>
        </w:rPr>
        <w:t>fundamental de la FIBH</w:t>
      </w:r>
      <w:r w:rsidRPr="005F55A6">
        <w:rPr>
          <w:rFonts w:ascii="Arial" w:hAnsi="Arial" w:cs="Arial"/>
          <w:lang w:val="es-ES"/>
        </w:rPr>
        <w:t>UG</w:t>
      </w:r>
      <w:r w:rsidR="00014384" w:rsidRPr="005F55A6">
        <w:rPr>
          <w:rFonts w:ascii="Arial" w:hAnsi="Arial" w:cs="Arial"/>
          <w:lang w:val="es-ES"/>
        </w:rPr>
        <w:t xml:space="preserve"> es </w:t>
      </w:r>
      <w:r w:rsidRPr="005F55A6">
        <w:rPr>
          <w:rFonts w:ascii="Arial" w:hAnsi="Arial" w:cs="Arial"/>
          <w:lang w:val="es-ES"/>
        </w:rPr>
        <w:t>promover y coordinar la investigación e innovación en su ámbito geográfico, potenciando la colaboración con otras entidades con el fin de maximizar la traslación y transferencia de resultados que contribuyan a la mejora de la atención sanitaria y la salud de la población</w:t>
      </w:r>
      <w:r w:rsidR="00BB56AB" w:rsidRPr="005F55A6">
        <w:rPr>
          <w:rFonts w:ascii="Arial" w:hAnsi="Arial" w:cs="Arial"/>
          <w:lang w:val="es-ES"/>
        </w:rPr>
        <w:t>. La actividad investigadora del Centro se estructura en torno a 5 áreas de investigación que engloban distintas patologías, sistemas y órganos, incluyendo la fragilidad y el envejecimiento, las enfermedades infecciosas, inflamatorias y crónicas y las tecnologías aplicadas a la salud.</w:t>
      </w:r>
      <w:r w:rsidR="006E5055" w:rsidRPr="005F55A6">
        <w:rPr>
          <w:rFonts w:ascii="Arial" w:hAnsi="Arial" w:cs="Arial"/>
          <w:lang w:val="es-ES"/>
        </w:rPr>
        <w:t xml:space="preserve"> Nuestro principal hito es encabezar el liderazgo en investigación sobre el envejecimiento, tanto a nivel internacional con  9  proyectos de investigación en los que participamos y/o somos líderes, como nacional, al formar parte de la nueva área temática sobre Fragilidad y Envejecimiento Saludable (CIBERFES) del ISCIII.</w:t>
      </w:r>
    </w:p>
    <w:p w14:paraId="64B26A05" w14:textId="77777777" w:rsidR="00641F7C" w:rsidRPr="005F55A6" w:rsidRDefault="00641F7C" w:rsidP="00641F7C">
      <w:pPr>
        <w:spacing w:after="0"/>
        <w:rPr>
          <w:rFonts w:ascii="Arial" w:hAnsi="Arial" w:cs="Arial"/>
          <w:b/>
          <w:u w:val="single"/>
        </w:rPr>
      </w:pPr>
    </w:p>
    <w:p w14:paraId="2B9A3C7A" w14:textId="4F8CE473" w:rsidR="00641F7C" w:rsidRPr="0046573A" w:rsidRDefault="0046573A" w:rsidP="00641F7C">
      <w:pPr>
        <w:spacing w:after="0" w:line="240" w:lineRule="auto"/>
        <w:rPr>
          <w:rStyle w:val="Hipervnculo"/>
          <w:rFonts w:ascii="Arial" w:hAnsi="Arial" w:cs="Arial"/>
          <w:b/>
          <w:color w:val="auto"/>
        </w:rPr>
      </w:pPr>
      <w:r w:rsidRPr="0046573A">
        <w:rPr>
          <w:rStyle w:val="Hipervnculo"/>
          <w:rFonts w:ascii="Arial" w:hAnsi="Arial" w:cs="Arial"/>
          <w:b/>
          <w:color w:val="auto"/>
        </w:rPr>
        <w:t>Cruz Roja Española en Ávila</w:t>
      </w:r>
    </w:p>
    <w:p w14:paraId="72E41D46" w14:textId="77777777" w:rsidR="003A6245" w:rsidRDefault="003A6245" w:rsidP="005615B6">
      <w:pPr>
        <w:jc w:val="both"/>
        <w:rPr>
          <w:rFonts w:ascii="Arial" w:hAnsi="Arial" w:cs="Arial"/>
          <w:lang w:val="es-ES"/>
        </w:rPr>
      </w:pPr>
    </w:p>
    <w:p w14:paraId="25B858F4" w14:textId="2E78FF3A" w:rsidR="00196BAB" w:rsidRDefault="00196BAB" w:rsidP="005615B6">
      <w:pPr>
        <w:jc w:val="both"/>
        <w:rPr>
          <w:rFonts w:ascii="Arial" w:hAnsi="Arial" w:cs="Arial"/>
          <w:lang w:val="es-ES"/>
        </w:rPr>
      </w:pPr>
      <w:r w:rsidRPr="00196BAB">
        <w:rPr>
          <w:rFonts w:ascii="Arial" w:hAnsi="Arial" w:cs="Arial"/>
          <w:lang w:val="es-ES"/>
        </w:rPr>
        <w:t>Cruz Roja Española en Ávila desarrollará el próximo 1 de junio en la plaza de Santa Teresa de la capital abulense una actividad que servirá para concienciar a la población de cómo se puede sentir una persona mayor mediante un traje de simulación del envejecimiento, adelantándose al Día Mundial de Toma de Conciencia del Abuso y Maltrato en la Vejez, que se conmemora el 15 de junio.</w:t>
      </w:r>
    </w:p>
    <w:p w14:paraId="57A15266" w14:textId="3E037550" w:rsidR="005615B6" w:rsidRPr="005615B6" w:rsidRDefault="005615B6" w:rsidP="005615B6">
      <w:pPr>
        <w:jc w:val="both"/>
        <w:rPr>
          <w:rFonts w:ascii="Arial" w:hAnsi="Arial" w:cs="Arial"/>
          <w:lang w:val="es-ES"/>
        </w:rPr>
      </w:pPr>
      <w:r>
        <w:rPr>
          <w:rFonts w:ascii="Arial" w:hAnsi="Arial" w:cs="Arial"/>
          <w:lang w:val="es-ES"/>
        </w:rPr>
        <w:lastRenderedPageBreak/>
        <w:t>A t</w:t>
      </w:r>
      <w:r w:rsidRPr="005615B6">
        <w:rPr>
          <w:rFonts w:ascii="Arial" w:hAnsi="Arial" w:cs="Arial"/>
          <w:lang w:val="es-ES"/>
        </w:rPr>
        <w:t xml:space="preserve">ravés de su proyecto </w:t>
      </w:r>
      <w:r w:rsidRPr="005615B6">
        <w:rPr>
          <w:rFonts w:ascii="Arial" w:hAnsi="Arial" w:cs="Arial"/>
          <w:i/>
          <w:lang w:val="es-ES"/>
        </w:rPr>
        <w:t>Buenos Tratos a Personas Mayores</w:t>
      </w:r>
      <w:r w:rsidRPr="005615B6">
        <w:rPr>
          <w:rFonts w:ascii="Arial" w:hAnsi="Arial" w:cs="Arial"/>
          <w:lang w:val="es-ES"/>
        </w:rPr>
        <w:t xml:space="preserve">, dará la oportunidad de participar en este experimento a las personas que deseen probarse el Simulador </w:t>
      </w:r>
      <w:proofErr w:type="spellStart"/>
      <w:r w:rsidRPr="005615B6">
        <w:rPr>
          <w:rFonts w:ascii="Arial" w:hAnsi="Arial" w:cs="Arial"/>
          <w:lang w:val="es-ES"/>
        </w:rPr>
        <w:t>GERonTológico</w:t>
      </w:r>
      <w:proofErr w:type="spellEnd"/>
      <w:r w:rsidRPr="005615B6">
        <w:rPr>
          <w:rFonts w:ascii="Arial" w:hAnsi="Arial" w:cs="Arial"/>
          <w:lang w:val="es-ES"/>
        </w:rPr>
        <w:t xml:space="preserve"> GERT de edad. La finalidad última es que se sientan mayores con el traje de envejecimiento para ponerse en su lugar. </w:t>
      </w:r>
    </w:p>
    <w:p w14:paraId="391B85EA" w14:textId="77777777" w:rsidR="00EB3722" w:rsidRDefault="00EB3722" w:rsidP="005615B6">
      <w:pPr>
        <w:jc w:val="both"/>
        <w:rPr>
          <w:rFonts w:ascii="Arial" w:hAnsi="Arial" w:cs="Arial"/>
          <w:lang w:val="es-ES"/>
        </w:rPr>
      </w:pPr>
      <w:r w:rsidRPr="00EB3722">
        <w:rPr>
          <w:rFonts w:ascii="Arial" w:hAnsi="Arial" w:cs="Arial"/>
          <w:lang w:val="es-ES"/>
        </w:rPr>
        <w:t>El traje permite simular los síntomas del Parkinson y otras limitaciones propias de los y las mayores. Para que los y las asistentes puedan vivir esa sensación, serán dotados de rodilleras, collarín, cascos y gafas. Con las gafas podrán saber qué se siente con cataratas, retinopatía diabética o glaucoma y con los cascos experimentarán la sordera</w:t>
      </w:r>
    </w:p>
    <w:p w14:paraId="50066AD0" w14:textId="17D4ED32" w:rsidR="00AA549B" w:rsidRPr="005F55A6" w:rsidRDefault="005615B6" w:rsidP="005615B6">
      <w:pPr>
        <w:jc w:val="both"/>
        <w:rPr>
          <w:rFonts w:ascii="Arial" w:hAnsi="Arial" w:cs="Arial"/>
          <w:lang w:val="es-ES"/>
        </w:rPr>
      </w:pPr>
      <w:r w:rsidRPr="005615B6">
        <w:rPr>
          <w:rFonts w:ascii="Arial" w:hAnsi="Arial" w:cs="Arial"/>
          <w:lang w:val="es-ES"/>
        </w:rPr>
        <w:t>La cita para empatizar es el 1 de junio, de 11:00 a 14 horas</w:t>
      </w:r>
      <w:r w:rsidR="00724102">
        <w:rPr>
          <w:rFonts w:ascii="Arial" w:hAnsi="Arial" w:cs="Arial"/>
          <w:lang w:val="es-ES"/>
        </w:rPr>
        <w:t xml:space="preserve"> en la Plaza de Santa Teresa de la capital abulense</w:t>
      </w:r>
      <w:r w:rsidRPr="005615B6">
        <w:rPr>
          <w:rFonts w:ascii="Arial" w:hAnsi="Arial" w:cs="Arial"/>
          <w:lang w:val="es-ES"/>
        </w:rPr>
        <w:t xml:space="preserve">. </w:t>
      </w:r>
    </w:p>
    <w:p w14:paraId="6F1077E3" w14:textId="77777777" w:rsidR="0032396F" w:rsidRPr="005F55A6" w:rsidRDefault="0032396F" w:rsidP="00641F7C">
      <w:pPr>
        <w:jc w:val="both"/>
        <w:rPr>
          <w:rFonts w:ascii="Arial" w:hAnsi="Arial" w:cs="Arial"/>
          <w:lang w:val="es-ES"/>
        </w:rPr>
      </w:pPr>
    </w:p>
    <w:p w14:paraId="65D43EB1" w14:textId="0388AE64" w:rsidR="00641F7C" w:rsidRPr="005F55A6" w:rsidRDefault="00602D0B" w:rsidP="00641F7C">
      <w:pPr>
        <w:jc w:val="both"/>
        <w:rPr>
          <w:rFonts w:ascii="Arial" w:hAnsi="Arial" w:cs="Arial"/>
          <w:b/>
          <w:lang w:val="es-ES"/>
        </w:rPr>
      </w:pPr>
      <w:hyperlink w:history="1">
        <w:r w:rsidR="0022206C" w:rsidRPr="005F55A6">
          <w:rPr>
            <w:rStyle w:val="Hipervnculo"/>
            <w:rFonts w:ascii="Arial" w:hAnsi="Arial" w:cs="Arial"/>
            <w:b/>
            <w:lang w:val="es-ES"/>
          </w:rPr>
          <w:t>www.iisgetafe.es</w:t>
        </w:r>
        <w:r w:rsidR="0022206C" w:rsidRPr="005F55A6">
          <w:rPr>
            <w:rStyle w:val="Hipervnculo"/>
            <w:rFonts w:ascii="Arial" w:hAnsi="Arial" w:cs="Arial"/>
            <w:lang w:val="es-ES"/>
          </w:rPr>
          <w:t xml:space="preserve">  </w:t>
        </w:r>
        <w:r w:rsidR="0022206C" w:rsidRPr="005F55A6">
          <w:rPr>
            <w:rStyle w:val="Hipervnculo"/>
            <w:rFonts w:ascii="Arial" w:hAnsi="Arial" w:cs="Arial"/>
            <w:u w:val="none"/>
            <w:lang w:val="es-ES"/>
          </w:rPr>
          <w:t xml:space="preserve">               </w:t>
        </w:r>
        <w:r w:rsidR="0022206C" w:rsidRPr="005F55A6">
          <w:rPr>
            <w:rStyle w:val="Hipervnculo"/>
            <w:rFonts w:ascii="Arial" w:hAnsi="Arial" w:cs="Arial"/>
            <w:lang w:val="es-ES"/>
          </w:rPr>
          <w:t xml:space="preserve"> </w:t>
        </w:r>
        <w:r w:rsidR="0022206C" w:rsidRPr="005F55A6">
          <w:rPr>
            <w:rStyle w:val="Hipervnculo"/>
            <w:rFonts w:ascii="Arial" w:hAnsi="Arial" w:cs="Arial"/>
            <w:b/>
            <w:lang w:val="es-ES"/>
          </w:rPr>
          <w:t>www.bankia.com</w:t>
        </w:r>
      </w:hyperlink>
      <w:r w:rsidR="00473074" w:rsidRPr="005F55A6">
        <w:rPr>
          <w:rFonts w:ascii="Arial" w:hAnsi="Arial" w:cs="Arial"/>
          <w:b/>
          <w:lang w:val="es-ES"/>
        </w:rPr>
        <w:tab/>
        <w:t xml:space="preserve">           </w:t>
      </w:r>
      <w:hyperlink r:id="rId13" w:history="1">
        <w:r w:rsidR="00473074" w:rsidRPr="005F55A6">
          <w:rPr>
            <w:rStyle w:val="Hipervnculo"/>
            <w:rFonts w:ascii="Arial" w:hAnsi="Arial" w:cs="Arial"/>
            <w:b/>
            <w:lang w:val="es-ES"/>
          </w:rPr>
          <w:t>www.enaccion.bankia.com</w:t>
        </w:r>
      </w:hyperlink>
      <w:r w:rsidR="00641F7C" w:rsidRPr="005F55A6">
        <w:rPr>
          <w:rFonts w:ascii="Arial" w:hAnsi="Arial" w:cs="Arial"/>
          <w:b/>
          <w:lang w:val="es-ES"/>
        </w:rPr>
        <w:tab/>
      </w:r>
      <w:r w:rsidR="0032396F" w:rsidRPr="005F55A6">
        <w:rPr>
          <w:rFonts w:ascii="Arial" w:hAnsi="Arial" w:cs="Arial"/>
          <w:b/>
          <w:lang w:val="es-ES"/>
        </w:rPr>
        <w:t xml:space="preserve">    </w:t>
      </w:r>
      <w:r w:rsidR="00473074" w:rsidRPr="005F55A6">
        <w:rPr>
          <w:rFonts w:ascii="Arial" w:hAnsi="Arial" w:cs="Arial"/>
          <w:b/>
          <w:lang w:val="es-ES"/>
        </w:rPr>
        <w:t xml:space="preserve">  </w:t>
      </w:r>
      <w:hyperlink r:id="rId14" w:history="1">
        <w:r w:rsidR="0054770D" w:rsidRPr="008B24D8">
          <w:rPr>
            <w:rStyle w:val="Hipervnculo"/>
            <w:rFonts w:ascii="Arial" w:hAnsi="Arial" w:cs="Arial"/>
            <w:b/>
            <w:lang w:val="es-ES"/>
          </w:rPr>
          <w:t>www.blogbankia.es</w:t>
        </w:r>
      </w:hyperlink>
      <w:r w:rsidR="00641F7C" w:rsidRPr="005F55A6">
        <w:rPr>
          <w:rFonts w:ascii="Arial" w:hAnsi="Arial" w:cs="Arial"/>
          <w:b/>
          <w:lang w:val="es-ES"/>
        </w:rPr>
        <w:t xml:space="preserve">              </w:t>
      </w:r>
      <w:hyperlink r:id="rId15" w:history="1">
        <w:r w:rsidR="0054770D" w:rsidRPr="00AD3BE0">
          <w:rPr>
            <w:rStyle w:val="Hipervnculo"/>
            <w:rFonts w:ascii="Arial" w:hAnsi="Arial" w:cs="Arial"/>
            <w:b/>
            <w:lang w:val="es-ES"/>
          </w:rPr>
          <w:t>cruzroja</w:t>
        </w:r>
        <w:r w:rsidR="00AD3BE0" w:rsidRPr="00AD3BE0">
          <w:rPr>
            <w:rStyle w:val="Hipervnculo"/>
            <w:rFonts w:ascii="Arial" w:hAnsi="Arial" w:cs="Arial"/>
            <w:b/>
            <w:lang w:val="es-ES"/>
          </w:rPr>
          <w:t>.es</w:t>
        </w:r>
      </w:hyperlink>
      <w:r w:rsidR="005D053B">
        <w:rPr>
          <w:rStyle w:val="Hipervnculo"/>
          <w:rFonts w:ascii="Arial" w:hAnsi="Arial" w:cs="Arial"/>
          <w:b/>
          <w:lang w:val="es-ES"/>
        </w:rPr>
        <w:t xml:space="preserve"> </w:t>
      </w:r>
      <w:r w:rsidR="005D053B" w:rsidRPr="007251B6">
        <w:rPr>
          <w:rStyle w:val="Hipervnculo"/>
          <w:rFonts w:ascii="Arial" w:hAnsi="Arial" w:cs="Arial"/>
          <w:b/>
          <w:i/>
          <w:u w:val="none"/>
          <w:lang w:val="es-ES"/>
        </w:rPr>
        <w:t xml:space="preserve">                         </w:t>
      </w:r>
      <w:r w:rsidR="007251B6" w:rsidRPr="007251B6">
        <w:rPr>
          <w:rStyle w:val="Hipervnculo"/>
          <w:rFonts w:ascii="Arial" w:hAnsi="Arial" w:cs="Arial"/>
          <w:b/>
          <w:iCs/>
          <w:lang w:val="es-ES"/>
        </w:rPr>
        <w:t>https://www.msssi.gob.es/</w:t>
      </w:r>
    </w:p>
    <w:p w14:paraId="1A75F6A0" w14:textId="77777777" w:rsidR="00641F7C" w:rsidRPr="005F55A6" w:rsidRDefault="00641F7C" w:rsidP="00641F7C">
      <w:pPr>
        <w:jc w:val="both"/>
        <w:rPr>
          <w:rFonts w:ascii="Arial" w:hAnsi="Arial" w:cs="Arial"/>
          <w:lang w:val="es-ES"/>
        </w:rPr>
      </w:pPr>
    </w:p>
    <w:p w14:paraId="3A83284D" w14:textId="77777777" w:rsidR="00FB2CE4" w:rsidRPr="005F55A6" w:rsidRDefault="00FB2CE4">
      <w:pPr>
        <w:rPr>
          <w:lang w:val="es-ES"/>
        </w:rPr>
      </w:pPr>
    </w:p>
    <w:sectPr w:rsidR="00FB2CE4" w:rsidRPr="005F55A6" w:rsidSect="00F95822">
      <w:headerReference w:type="default" r:id="rId16"/>
      <w:footerReference w:type="default" r:id="rId17"/>
      <w:pgSz w:w="11906" w:h="16838"/>
      <w:pgMar w:top="1418" w:right="170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0306B" w14:textId="77777777" w:rsidR="00602D0B" w:rsidRDefault="00602D0B" w:rsidP="00641F7C">
      <w:pPr>
        <w:spacing w:after="0" w:line="240" w:lineRule="auto"/>
      </w:pPr>
      <w:r>
        <w:separator/>
      </w:r>
    </w:p>
  </w:endnote>
  <w:endnote w:type="continuationSeparator" w:id="0">
    <w:p w14:paraId="473F2112" w14:textId="77777777" w:rsidR="00602D0B" w:rsidRDefault="00602D0B" w:rsidP="00641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85C96" w14:textId="77777777" w:rsidR="003B0500" w:rsidRDefault="00602D0B" w:rsidP="00521A8C">
    <w:pPr>
      <w:pStyle w:val="Piedepgina"/>
    </w:pPr>
  </w:p>
  <w:p w14:paraId="6DC4CCD7" w14:textId="77777777" w:rsidR="00D40AB9" w:rsidRDefault="00641F7C" w:rsidP="00D33A9A">
    <w:pPr>
      <w:pStyle w:val="Piedepgina"/>
      <w:tabs>
        <w:tab w:val="left" w:pos="7785"/>
      </w:tabs>
    </w:pPr>
    <w:r>
      <w:tab/>
    </w:r>
    <w:r>
      <w:tab/>
    </w:r>
    <w:r>
      <w:tab/>
    </w:r>
    <w:r w:rsidR="00216F0C">
      <w:fldChar w:fldCharType="begin"/>
    </w:r>
    <w:r>
      <w:instrText xml:space="preserve"> PAGE   \* MERGEFORMAT </w:instrText>
    </w:r>
    <w:r w:rsidR="00216F0C">
      <w:fldChar w:fldCharType="separate"/>
    </w:r>
    <w:r w:rsidR="00775F14">
      <w:rPr>
        <w:noProof/>
      </w:rPr>
      <w:t>3</w:t>
    </w:r>
    <w:r w:rsidR="00216F0C">
      <w:rPr>
        <w:noProof/>
      </w:rPr>
      <w:fldChar w:fldCharType="end"/>
    </w:r>
  </w:p>
  <w:p w14:paraId="31F358F4" w14:textId="77777777" w:rsidR="00D40AB9" w:rsidRDefault="00602D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742AD" w14:textId="77777777" w:rsidR="00602D0B" w:rsidRDefault="00602D0B" w:rsidP="00641F7C">
      <w:pPr>
        <w:spacing w:after="0" w:line="240" w:lineRule="auto"/>
      </w:pPr>
      <w:r>
        <w:separator/>
      </w:r>
    </w:p>
  </w:footnote>
  <w:footnote w:type="continuationSeparator" w:id="0">
    <w:p w14:paraId="61CBE523" w14:textId="77777777" w:rsidR="00602D0B" w:rsidRDefault="00602D0B" w:rsidP="00641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C345" w14:textId="7D61B357" w:rsidR="00D40AB9" w:rsidRDefault="00641F7C" w:rsidP="00B11957">
    <w:pPr>
      <w:pStyle w:val="Encabezado"/>
    </w:pPr>
    <w:r>
      <w:tab/>
    </w:r>
    <w:r w:rsidR="0032396F">
      <w:t xml:space="preserve">    </w:t>
    </w:r>
  </w:p>
  <w:p w14:paraId="39DDF3C0" w14:textId="44215F03" w:rsidR="00D40AB9" w:rsidRDefault="00602D0B" w:rsidP="00B11957">
    <w:pPr>
      <w:pStyle w:val="Encabezado"/>
    </w:pPr>
  </w:p>
  <w:p w14:paraId="12DCE3BF" w14:textId="77777777" w:rsidR="00AC2B70" w:rsidRPr="00B11957" w:rsidRDefault="00602D0B" w:rsidP="00B119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78DF"/>
    <w:multiLevelType w:val="hybridMultilevel"/>
    <w:tmpl w:val="9AE6E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F7C"/>
    <w:rsid w:val="0000233B"/>
    <w:rsid w:val="00014384"/>
    <w:rsid w:val="000143DA"/>
    <w:rsid w:val="000A6B86"/>
    <w:rsid w:val="00144752"/>
    <w:rsid w:val="00152CA9"/>
    <w:rsid w:val="00196BAB"/>
    <w:rsid w:val="001C1C30"/>
    <w:rsid w:val="00216F0C"/>
    <w:rsid w:val="0022206C"/>
    <w:rsid w:val="0024059C"/>
    <w:rsid w:val="002D18DB"/>
    <w:rsid w:val="002F19DD"/>
    <w:rsid w:val="0032396F"/>
    <w:rsid w:val="003271D7"/>
    <w:rsid w:val="003A6245"/>
    <w:rsid w:val="003E3BD5"/>
    <w:rsid w:val="0043073C"/>
    <w:rsid w:val="0046573A"/>
    <w:rsid w:val="00473074"/>
    <w:rsid w:val="004A7F63"/>
    <w:rsid w:val="004C016F"/>
    <w:rsid w:val="00515A79"/>
    <w:rsid w:val="005302B5"/>
    <w:rsid w:val="0054770D"/>
    <w:rsid w:val="0056045E"/>
    <w:rsid w:val="005615B6"/>
    <w:rsid w:val="005666A8"/>
    <w:rsid w:val="005B3993"/>
    <w:rsid w:val="005D053B"/>
    <w:rsid w:val="005F55A6"/>
    <w:rsid w:val="00602D0B"/>
    <w:rsid w:val="00641F7C"/>
    <w:rsid w:val="00667BAB"/>
    <w:rsid w:val="00682E46"/>
    <w:rsid w:val="006E5055"/>
    <w:rsid w:val="006F00E9"/>
    <w:rsid w:val="006F1F52"/>
    <w:rsid w:val="00701A8D"/>
    <w:rsid w:val="00706C40"/>
    <w:rsid w:val="00724102"/>
    <w:rsid w:val="007251B6"/>
    <w:rsid w:val="00747653"/>
    <w:rsid w:val="007515CB"/>
    <w:rsid w:val="0075175F"/>
    <w:rsid w:val="00775F14"/>
    <w:rsid w:val="007966A4"/>
    <w:rsid w:val="007C12A3"/>
    <w:rsid w:val="00883178"/>
    <w:rsid w:val="008933C1"/>
    <w:rsid w:val="009063D7"/>
    <w:rsid w:val="00912506"/>
    <w:rsid w:val="0095741A"/>
    <w:rsid w:val="009A49FC"/>
    <w:rsid w:val="009D2FA7"/>
    <w:rsid w:val="009D4375"/>
    <w:rsid w:val="009E4891"/>
    <w:rsid w:val="00A0494B"/>
    <w:rsid w:val="00A05BD6"/>
    <w:rsid w:val="00A1198E"/>
    <w:rsid w:val="00A1352A"/>
    <w:rsid w:val="00A420FE"/>
    <w:rsid w:val="00AA549B"/>
    <w:rsid w:val="00AC3373"/>
    <w:rsid w:val="00AD3BE0"/>
    <w:rsid w:val="00AF0E3D"/>
    <w:rsid w:val="00B70DE4"/>
    <w:rsid w:val="00BB56AB"/>
    <w:rsid w:val="00BC6C22"/>
    <w:rsid w:val="00BD3B67"/>
    <w:rsid w:val="00BE4D81"/>
    <w:rsid w:val="00C40F28"/>
    <w:rsid w:val="00C42895"/>
    <w:rsid w:val="00C55245"/>
    <w:rsid w:val="00C7317D"/>
    <w:rsid w:val="00C73C88"/>
    <w:rsid w:val="00CC1478"/>
    <w:rsid w:val="00CE35D3"/>
    <w:rsid w:val="00CF789C"/>
    <w:rsid w:val="00D06CAF"/>
    <w:rsid w:val="00D10D80"/>
    <w:rsid w:val="00D5615A"/>
    <w:rsid w:val="00D96899"/>
    <w:rsid w:val="00DA2E28"/>
    <w:rsid w:val="00DE7ACC"/>
    <w:rsid w:val="00E03267"/>
    <w:rsid w:val="00E13F58"/>
    <w:rsid w:val="00E36EEC"/>
    <w:rsid w:val="00E37537"/>
    <w:rsid w:val="00E42B9C"/>
    <w:rsid w:val="00E45C05"/>
    <w:rsid w:val="00E746F3"/>
    <w:rsid w:val="00EB3722"/>
    <w:rsid w:val="00EB3F26"/>
    <w:rsid w:val="00F347F8"/>
    <w:rsid w:val="00F407B0"/>
    <w:rsid w:val="00F83ABC"/>
    <w:rsid w:val="00F90C36"/>
    <w:rsid w:val="00F92205"/>
    <w:rsid w:val="00FA6528"/>
    <w:rsid w:val="00FB0D72"/>
    <w:rsid w:val="00FB2CE4"/>
    <w:rsid w:val="00FE26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F903B"/>
  <w15:docId w15:val="{44D9CA0D-42B9-41A8-9F3D-0BC3B5A4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F7C"/>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41F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1F7C"/>
    <w:rPr>
      <w:rFonts w:ascii="Calibri" w:eastAsia="Calibri" w:hAnsi="Calibri" w:cs="Times New Roman"/>
      <w:lang w:val="es-ES_tradnl"/>
    </w:rPr>
  </w:style>
  <w:style w:type="paragraph" w:styleId="Piedepgina">
    <w:name w:val="footer"/>
    <w:basedOn w:val="Normal"/>
    <w:link w:val="PiedepginaCar"/>
    <w:uiPriority w:val="99"/>
    <w:rsid w:val="00641F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1F7C"/>
    <w:rPr>
      <w:rFonts w:ascii="Calibri" w:eastAsia="Calibri" w:hAnsi="Calibri" w:cs="Times New Roman"/>
      <w:lang w:val="es-ES_tradnl"/>
    </w:rPr>
  </w:style>
  <w:style w:type="paragraph" w:styleId="Prrafodelista">
    <w:name w:val="List Paragraph"/>
    <w:basedOn w:val="Normal"/>
    <w:uiPriority w:val="99"/>
    <w:qFormat/>
    <w:rsid w:val="00641F7C"/>
    <w:pPr>
      <w:ind w:left="720"/>
    </w:pPr>
  </w:style>
  <w:style w:type="character" w:styleId="Hipervnculo">
    <w:name w:val="Hyperlink"/>
    <w:basedOn w:val="Fuentedeprrafopredeter"/>
    <w:uiPriority w:val="99"/>
    <w:unhideWhenUsed/>
    <w:rsid w:val="00641F7C"/>
    <w:rPr>
      <w:color w:val="0000FF"/>
      <w:u w:val="single"/>
    </w:rPr>
  </w:style>
  <w:style w:type="paragraph" w:styleId="NormalWeb">
    <w:name w:val="Normal (Web)"/>
    <w:basedOn w:val="Normal"/>
    <w:uiPriority w:val="99"/>
    <w:rsid w:val="00641F7C"/>
    <w:pPr>
      <w:spacing w:before="100" w:beforeAutospacing="1" w:after="100" w:afterAutospacing="1" w:line="240" w:lineRule="auto"/>
    </w:pPr>
    <w:rPr>
      <w:rFonts w:ascii="Times New Roman" w:eastAsia="Times New Roman" w:hAnsi="Times New Roman"/>
      <w:sz w:val="24"/>
      <w:szCs w:val="24"/>
      <w:lang w:eastAsia="es-ES_tradnl"/>
    </w:rPr>
  </w:style>
  <w:style w:type="paragraph" w:styleId="Textodeglobo">
    <w:name w:val="Balloon Text"/>
    <w:basedOn w:val="Normal"/>
    <w:link w:val="TextodegloboCar"/>
    <w:uiPriority w:val="99"/>
    <w:semiHidden/>
    <w:unhideWhenUsed/>
    <w:rsid w:val="00641F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1F7C"/>
    <w:rPr>
      <w:rFonts w:ascii="Tahoma" w:eastAsia="Calibri" w:hAnsi="Tahoma" w:cs="Tahoma"/>
      <w:sz w:val="16"/>
      <w:szCs w:val="16"/>
      <w:lang w:val="es-ES_tradnl"/>
    </w:rPr>
  </w:style>
  <w:style w:type="character" w:styleId="Mencionar">
    <w:name w:val="Mention"/>
    <w:basedOn w:val="Fuentedeprrafopredeter"/>
    <w:uiPriority w:val="99"/>
    <w:semiHidden/>
    <w:unhideWhenUsed/>
    <w:rsid w:val="00E746F3"/>
    <w:rPr>
      <w:color w:val="2B579A"/>
      <w:shd w:val="clear" w:color="auto" w:fill="E6E6E6"/>
    </w:rPr>
  </w:style>
  <w:style w:type="character" w:customStyle="1" w:styleId="Mencinsinresolver1">
    <w:name w:val="Mención sin resolver1"/>
    <w:basedOn w:val="Fuentedeprrafopredeter"/>
    <w:uiPriority w:val="99"/>
    <w:semiHidden/>
    <w:unhideWhenUsed/>
    <w:rsid w:val="00515A79"/>
    <w:rPr>
      <w:color w:val="808080"/>
      <w:shd w:val="clear" w:color="auto" w:fill="E6E6E6"/>
    </w:rPr>
  </w:style>
  <w:style w:type="character" w:styleId="Mencinsinresolver">
    <w:name w:val="Unresolved Mention"/>
    <w:basedOn w:val="Fuentedeprrafopredeter"/>
    <w:uiPriority w:val="99"/>
    <w:semiHidden/>
    <w:unhideWhenUsed/>
    <w:rsid w:val="0024059C"/>
    <w:rPr>
      <w:color w:val="808080"/>
      <w:shd w:val="clear" w:color="auto" w:fill="E6E6E6"/>
    </w:rPr>
  </w:style>
  <w:style w:type="character" w:styleId="CitaHTML">
    <w:name w:val="HTML Cite"/>
    <w:basedOn w:val="Fuentedeprrafopredeter"/>
    <w:uiPriority w:val="99"/>
    <w:semiHidden/>
    <w:unhideWhenUsed/>
    <w:rsid w:val="007251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9696">
      <w:bodyDiv w:val="1"/>
      <w:marLeft w:val="0"/>
      <w:marRight w:val="0"/>
      <w:marTop w:val="0"/>
      <w:marBottom w:val="0"/>
      <w:divBdr>
        <w:top w:val="none" w:sz="0" w:space="0" w:color="auto"/>
        <w:left w:val="none" w:sz="0" w:space="0" w:color="auto"/>
        <w:bottom w:val="none" w:sz="0" w:space="0" w:color="auto"/>
        <w:right w:val="none" w:sz="0" w:space="0" w:color="auto"/>
      </w:divBdr>
    </w:div>
    <w:div w:id="276450963">
      <w:bodyDiv w:val="1"/>
      <w:marLeft w:val="0"/>
      <w:marRight w:val="0"/>
      <w:marTop w:val="0"/>
      <w:marBottom w:val="0"/>
      <w:divBdr>
        <w:top w:val="none" w:sz="0" w:space="0" w:color="auto"/>
        <w:left w:val="none" w:sz="0" w:space="0" w:color="auto"/>
        <w:bottom w:val="none" w:sz="0" w:space="0" w:color="auto"/>
        <w:right w:val="none" w:sz="0" w:space="0" w:color="auto"/>
      </w:divBdr>
    </w:div>
    <w:div w:id="400636227">
      <w:bodyDiv w:val="1"/>
      <w:marLeft w:val="0"/>
      <w:marRight w:val="0"/>
      <w:marTop w:val="0"/>
      <w:marBottom w:val="0"/>
      <w:divBdr>
        <w:top w:val="none" w:sz="0" w:space="0" w:color="auto"/>
        <w:left w:val="none" w:sz="0" w:space="0" w:color="auto"/>
        <w:bottom w:val="none" w:sz="0" w:space="0" w:color="auto"/>
        <w:right w:val="none" w:sz="0" w:space="0" w:color="auto"/>
      </w:divBdr>
    </w:div>
    <w:div w:id="907224518">
      <w:bodyDiv w:val="1"/>
      <w:marLeft w:val="0"/>
      <w:marRight w:val="0"/>
      <w:marTop w:val="0"/>
      <w:marBottom w:val="0"/>
      <w:divBdr>
        <w:top w:val="none" w:sz="0" w:space="0" w:color="auto"/>
        <w:left w:val="none" w:sz="0" w:space="0" w:color="auto"/>
        <w:bottom w:val="none" w:sz="0" w:space="0" w:color="auto"/>
        <w:right w:val="none" w:sz="0" w:space="0" w:color="auto"/>
      </w:divBdr>
    </w:div>
    <w:div w:id="913776388">
      <w:bodyDiv w:val="1"/>
      <w:marLeft w:val="0"/>
      <w:marRight w:val="0"/>
      <w:marTop w:val="0"/>
      <w:marBottom w:val="0"/>
      <w:divBdr>
        <w:top w:val="none" w:sz="0" w:space="0" w:color="auto"/>
        <w:left w:val="none" w:sz="0" w:space="0" w:color="auto"/>
        <w:bottom w:val="none" w:sz="0" w:space="0" w:color="auto"/>
        <w:right w:val="none" w:sz="0" w:space="0" w:color="auto"/>
      </w:divBdr>
    </w:div>
    <w:div w:id="1088577050">
      <w:bodyDiv w:val="1"/>
      <w:marLeft w:val="0"/>
      <w:marRight w:val="0"/>
      <w:marTop w:val="0"/>
      <w:marBottom w:val="0"/>
      <w:divBdr>
        <w:top w:val="none" w:sz="0" w:space="0" w:color="auto"/>
        <w:left w:val="none" w:sz="0" w:space="0" w:color="auto"/>
        <w:bottom w:val="none" w:sz="0" w:space="0" w:color="auto"/>
        <w:right w:val="none" w:sz="0" w:space="0" w:color="auto"/>
      </w:divBdr>
    </w:div>
    <w:div w:id="1331450605">
      <w:bodyDiv w:val="1"/>
      <w:marLeft w:val="0"/>
      <w:marRight w:val="0"/>
      <w:marTop w:val="0"/>
      <w:marBottom w:val="0"/>
      <w:divBdr>
        <w:top w:val="none" w:sz="0" w:space="0" w:color="auto"/>
        <w:left w:val="none" w:sz="0" w:space="0" w:color="auto"/>
        <w:bottom w:val="none" w:sz="0" w:space="0" w:color="auto"/>
        <w:right w:val="none" w:sz="0" w:space="0" w:color="auto"/>
      </w:divBdr>
    </w:div>
    <w:div w:id="1534146870">
      <w:bodyDiv w:val="1"/>
      <w:marLeft w:val="0"/>
      <w:marRight w:val="0"/>
      <w:marTop w:val="0"/>
      <w:marBottom w:val="0"/>
      <w:divBdr>
        <w:top w:val="none" w:sz="0" w:space="0" w:color="auto"/>
        <w:left w:val="none" w:sz="0" w:space="0" w:color="auto"/>
        <w:bottom w:val="none" w:sz="0" w:space="0" w:color="auto"/>
        <w:right w:val="none" w:sz="0" w:space="0" w:color="auto"/>
      </w:divBdr>
    </w:div>
    <w:div w:id="1686783459">
      <w:bodyDiv w:val="1"/>
      <w:marLeft w:val="0"/>
      <w:marRight w:val="0"/>
      <w:marTop w:val="0"/>
      <w:marBottom w:val="0"/>
      <w:divBdr>
        <w:top w:val="none" w:sz="0" w:space="0" w:color="auto"/>
        <w:left w:val="none" w:sz="0" w:space="0" w:color="auto"/>
        <w:bottom w:val="none" w:sz="0" w:space="0" w:color="auto"/>
        <w:right w:val="none" w:sz="0" w:space="0" w:color="auto"/>
      </w:divBdr>
    </w:div>
    <w:div w:id="197690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naccion.banki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ankia.com/es/gestion-responsable/sociedad/voluntariad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isgetafe.es/wp-content/uploads/2018/04/Programa-Final-jornada-ADVANTAGE-Jun2018-Valencia.pdf" TargetMode="External"/><Relationship Id="rId5" Type="http://schemas.openxmlformats.org/officeDocument/2006/relationships/styles" Target="styles.xml"/><Relationship Id="rId15" Type="http://schemas.openxmlformats.org/officeDocument/2006/relationships/hyperlink" Target="https://www.cruzroja.es/principal/web/cruz-roja/inicio"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logbanki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D929D03104737489F8A180ECF5694F4" ma:contentTypeVersion="8" ma:contentTypeDescription="Crear nuevo documento." ma:contentTypeScope="" ma:versionID="79bc2b15150580f14d55e1209f1d4948">
  <xsd:schema xmlns:xsd="http://www.w3.org/2001/XMLSchema" xmlns:xs="http://www.w3.org/2001/XMLSchema" xmlns:p="http://schemas.microsoft.com/office/2006/metadata/properties" xmlns:ns2="b09e86e1-0165-4c7e-b470-423e73d7c4c4" xmlns:ns3="ff4ddc65-7386-4845-a2fa-dcf8440750e9" targetNamespace="http://schemas.microsoft.com/office/2006/metadata/properties" ma:root="true" ma:fieldsID="8106fd0b76a950bd192788f75ba9a725" ns2:_="" ns3:_="">
    <xsd:import namespace="b09e86e1-0165-4c7e-b470-423e73d7c4c4"/>
    <xsd:import namespace="ff4ddc65-7386-4845-a2fa-dcf8440750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e86e1-0165-4c7e-b470-423e73d7c4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4ddc65-7386-4845-a2fa-dcf8440750e9" elementFormDefault="qualified">
    <xsd:import namespace="http://schemas.microsoft.com/office/2006/documentManagement/types"/>
    <xsd:import namespace="http://schemas.microsoft.com/office/infopath/2007/PartnerControls"/>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26C3A8-23BC-4D98-9224-66E6E9D49F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7A2643-E32D-4A9E-9088-D552DAD65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e86e1-0165-4c7e-b470-423e73d7c4c4"/>
    <ds:schemaRef ds:uri="ff4ddc65-7386-4845-a2fa-dcf844075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BAD8D-5C03-4D43-834C-CF6AD2FD95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868</Words>
  <Characters>4776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Caja Madrid</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Bankia</dc:creator>
  <cp:lastModifiedBy>Ana Sevillano Bermejo</cp:lastModifiedBy>
  <cp:revision>38</cp:revision>
  <cp:lastPrinted>2018-02-06T10:01:00Z</cp:lastPrinted>
  <dcterms:created xsi:type="dcterms:W3CDTF">2018-02-12T11:21:00Z</dcterms:created>
  <dcterms:modified xsi:type="dcterms:W3CDTF">2018-05-29T07:19:00Z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0x0101005D929D03104737489F8A180ECF5694F4</vt:lpwstr>
  </property>
</Properties>
</file>